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adjustRightIn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内蒙古自治区防震减灾科普示范学校认定标准</w:t>
      </w:r>
    </w:p>
    <w:tbl>
      <w:tblPr>
        <w:tblStyle w:val="6"/>
        <w:tblW w:w="132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080"/>
        <w:gridCol w:w="9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napToGrid w:val="0"/>
              <w:spacing w:line="240" w:lineRule="atLeast"/>
              <w:jc w:val="center"/>
              <w:rPr>
                <w:rFonts w:ascii="黑体" w:hAnsi="黑体" w:eastAsia="黑体"/>
                <w:sz w:val="32"/>
                <w:szCs w:val="32"/>
              </w:rPr>
            </w:pPr>
            <w:r>
              <w:rPr>
                <w:rFonts w:hint="eastAsia" w:ascii="黑体" w:hAnsi="黑体" w:eastAsia="黑体"/>
                <w:sz w:val="32"/>
                <w:szCs w:val="32"/>
              </w:rPr>
              <w:t>项 目</w:t>
            </w:r>
          </w:p>
        </w:tc>
        <w:tc>
          <w:tcPr>
            <w:tcW w:w="8080" w:type="dxa"/>
            <w:vAlign w:val="center"/>
          </w:tcPr>
          <w:p>
            <w:pPr>
              <w:ind w:firstLine="33" w:firstLineChars="12"/>
              <w:jc w:val="center"/>
              <w:rPr>
                <w:rFonts w:ascii="黑体" w:hAnsi="黑体" w:eastAsia="黑体"/>
                <w:sz w:val="28"/>
                <w:szCs w:val="28"/>
              </w:rPr>
            </w:pPr>
            <w:r>
              <w:rPr>
                <w:rFonts w:hint="eastAsia" w:ascii="黑体" w:hAnsi="黑体" w:eastAsia="黑体"/>
                <w:sz w:val="28"/>
                <w:szCs w:val="28"/>
              </w:rPr>
              <w:t>主要内容、考核指标</w:t>
            </w:r>
          </w:p>
        </w:tc>
        <w:tc>
          <w:tcPr>
            <w:tcW w:w="992" w:type="dxa"/>
            <w:vAlign w:val="center"/>
          </w:tcPr>
          <w:p>
            <w:pPr>
              <w:jc w:val="center"/>
              <w:rPr>
                <w:rFonts w:ascii="黑体" w:hAnsi="黑体" w:eastAsia="黑体"/>
                <w:sz w:val="28"/>
                <w:szCs w:val="28"/>
              </w:rPr>
            </w:pPr>
            <w:r>
              <w:rPr>
                <w:rFonts w:hint="eastAsia" w:ascii="黑体" w:hAnsi="黑体" w:eastAsia="黑体"/>
                <w:sz w:val="28"/>
                <w:szCs w:val="28"/>
              </w:rPr>
              <w:t>分值</w:t>
            </w:r>
          </w:p>
        </w:tc>
        <w:tc>
          <w:tcPr>
            <w:tcW w:w="2552" w:type="dxa"/>
            <w:vAlign w:val="center"/>
          </w:tcPr>
          <w:p>
            <w:pPr>
              <w:jc w:val="center"/>
              <w:rPr>
                <w:rFonts w:ascii="黑体" w:hAnsi="黑体" w:eastAsia="黑体"/>
                <w:sz w:val="28"/>
                <w:szCs w:val="28"/>
              </w:rPr>
            </w:pPr>
            <w:r>
              <w:rPr>
                <w:rFonts w:hint="eastAsia" w:ascii="黑体" w:hAnsi="黑体" w:eastAsia="黑体"/>
                <w:sz w:val="28"/>
                <w:szCs w:val="2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adjustRightInd w:val="0"/>
              <w:jc w:val="center"/>
              <w:rPr>
                <w:rFonts w:hint="eastAsia" w:ascii="黑体" w:hAnsi="黑体" w:eastAsia="黑体" w:cs="黑体"/>
                <w:sz w:val="21"/>
                <w:szCs w:val="21"/>
                <w:lang w:val="en-US" w:eastAsia="zh-CN"/>
              </w:rPr>
            </w:pPr>
            <w:r>
              <w:rPr>
                <w:rFonts w:hint="eastAsia" w:ascii="黑体" w:hAnsi="黑体" w:eastAsia="黑体" w:cs="黑体"/>
                <w:sz w:val="21"/>
                <w:szCs w:val="21"/>
              </w:rPr>
              <w:t>组织管理</w:t>
            </w:r>
            <w:r>
              <w:rPr>
                <w:rFonts w:hint="eastAsia" w:ascii="黑体" w:hAnsi="黑体" w:eastAsia="黑体" w:cs="黑体"/>
                <w:sz w:val="21"/>
                <w:szCs w:val="21"/>
                <w:lang w:eastAsia="zh-CN"/>
              </w:rPr>
              <w:t>与制度建设</w:t>
            </w:r>
          </w:p>
          <w:p>
            <w:pPr>
              <w:jc w:val="center"/>
              <w:rPr>
                <w:rFonts w:hint="eastAsia" w:ascii="黑体" w:hAnsi="黑体" w:eastAsia="黑体" w:cs="黑体"/>
                <w:sz w:val="21"/>
                <w:szCs w:val="21"/>
              </w:rPr>
            </w:pPr>
            <w:r>
              <w:rPr>
                <w:rFonts w:hint="eastAsia" w:ascii="黑体" w:hAnsi="黑体" w:eastAsia="黑体" w:cs="黑体"/>
                <w:sz w:val="21"/>
                <w:szCs w:val="21"/>
              </w:rPr>
              <w:t>（10分）</w:t>
            </w: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1、学校成立防震减灾工作领导小组，明确分管领导和责任部门。</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2、学校制定防震减灾年度工作计划。把防震减灾知识教育和相关能力的培养纳入学校安全教育计划。</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3、学校有防震减灾工作经费。用于防震减灾基础设施建设、科普宣传材料、应急物资采购和应急疏散演练等。</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文件、发票、收据等资料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4、学校防震减灾档案资料齐全。</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5、防震减灾工作纳入学校考核内容。将防震减灾科普教育工作列入相关领导和科任教师的年度工作考核范围。</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adjustRightInd w:val="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基础条件与防范措施</w:t>
            </w:r>
          </w:p>
          <w:p>
            <w:pPr>
              <w:jc w:val="center"/>
              <w:rPr>
                <w:rFonts w:hint="eastAsia" w:ascii="黑体" w:hAnsi="黑体" w:eastAsia="黑体" w:cs="黑体"/>
                <w:sz w:val="21"/>
                <w:szCs w:val="21"/>
              </w:rPr>
            </w:pPr>
            <w:r>
              <w:rPr>
                <w:rFonts w:hint="eastAsia" w:ascii="黑体" w:hAnsi="黑体" w:eastAsia="黑体" w:cs="黑体"/>
                <w:sz w:val="21"/>
                <w:szCs w:val="21"/>
              </w:rPr>
              <w:t>（30分）</w:t>
            </w: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1、学校选址避开活动断层、崩塌、滑坡、泥石流等地震地质灾害隐患地段。</w:t>
            </w:r>
          </w:p>
        </w:tc>
        <w:tc>
          <w:tcPr>
            <w:tcW w:w="992" w:type="dxa"/>
            <w:vAlign w:val="center"/>
          </w:tcPr>
          <w:p>
            <w:pPr>
              <w:jc w:val="center"/>
              <w:rPr>
                <w:rFonts w:hint="eastAsia" w:ascii="仿宋_GB2312" w:hAnsi="仿宋_GB2312" w:eastAsia="仿宋_GB2312" w:cs="仿宋_GB2312"/>
                <w:sz w:val="21"/>
                <w:szCs w:val="21"/>
              </w:rPr>
            </w:pP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有关资料、图件等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2、学校校舍的抗震设计符合GB 50011的规定，按照高于当地房屋建筑的抗震设防要求进行设计和施工。</w:t>
            </w:r>
          </w:p>
        </w:tc>
        <w:tc>
          <w:tcPr>
            <w:tcW w:w="992" w:type="dxa"/>
            <w:vAlign w:val="center"/>
          </w:tcPr>
          <w:p>
            <w:pPr>
              <w:jc w:val="center"/>
              <w:rPr>
                <w:rFonts w:hint="eastAsia" w:ascii="仿宋_GB2312" w:hAnsi="仿宋_GB2312" w:eastAsia="仿宋_GB2312" w:cs="仿宋_GB2312"/>
                <w:sz w:val="21"/>
                <w:szCs w:val="21"/>
              </w:rPr>
            </w:pP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有关资料、图纸等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3、校内及周边不存在可能引发严重地震次生灾害的危险源。</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有关资料、图件等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4、学校每年开展一次校内地震安全隐患排查。</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排查资料、照片等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5、学校围墙、路灯、电线杆、变压器、高大牌匾、物料堆放等附属设施安装、使用和维护符合相关安全要求。</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6、校内至少有一处地震应急避难场</w:t>
            </w:r>
            <w:r>
              <w:rPr>
                <w:rFonts w:hint="eastAsia" w:ascii="仿宋_GB2312" w:hAnsi="仿宋_GB2312" w:eastAsia="仿宋_GB2312" w:cs="仿宋_GB2312"/>
                <w:sz w:val="21"/>
                <w:szCs w:val="21"/>
                <w:lang w:eastAsia="zh-CN"/>
              </w:rPr>
              <w:t>地</w:t>
            </w:r>
            <w:r>
              <w:rPr>
                <w:rFonts w:hint="eastAsia" w:ascii="仿宋_GB2312" w:hAnsi="仿宋_GB2312" w:eastAsia="仿宋_GB2312" w:cs="仿宋_GB2312"/>
                <w:sz w:val="21"/>
                <w:szCs w:val="21"/>
              </w:rPr>
              <w:t>。有清晰的紧急疏散路线标识的地震应急疏散通道。学校有应急医疗处置条件和应急包。</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学校有相对固定的防震减灾知识宣传教育场所，并配有地震安全教育的展教具。图书馆（室）收藏有具有一定数量的地震科普图书、挂图、展板和展品及声像制品供师生阅览。设有防震减灾宣传展室（区）或宣传栏且能定期更新内容。</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8、学校对教育教学设施等进行固定，避免地震引发的损害。</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防震减灾</w:t>
            </w:r>
          </w:p>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知识教育</w:t>
            </w:r>
          </w:p>
          <w:p>
            <w:pPr>
              <w:jc w:val="center"/>
              <w:rPr>
                <w:rFonts w:hint="eastAsia" w:ascii="黑体" w:hAnsi="黑体" w:eastAsia="黑体" w:cs="黑体"/>
                <w:sz w:val="21"/>
                <w:szCs w:val="21"/>
              </w:rPr>
            </w:pPr>
            <w:r>
              <w:rPr>
                <w:rFonts w:hint="eastAsia" w:ascii="黑体" w:hAnsi="黑体" w:eastAsia="黑体" w:cs="黑体"/>
                <w:sz w:val="21"/>
                <w:szCs w:val="21"/>
              </w:rPr>
              <w:t>（30分）</w:t>
            </w: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防震减灾知识教育纳入教学计划，开展防震减灾知识课堂教育。每年至少开展两个学时防震减灾科普知识专题教育，并通过社会实践、宣传教育、参观考察、兴趣学习等活动，把地震相关科普知识列为专题教学内容。在校学生防震减灾科普知识普及率达到100%。</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会议纪要、文件、照片或录像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校学生防震减灾科普活动参与率达到100%。利用多媒体教室、宣传栏、校园网、校办刊物和新媒体等媒介（或手段），学习并传播地震安全知识。成立课外地震科普知识兴趣活动小组，定期开展各种形式的防震减灾宣传课外活动，参加或组织防震减灾知识竞赛、讲座、科普夏令营和参观防震减灾科普教育基地。利用每年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5·</w:t>
            </w:r>
            <w:bookmarkStart w:id="1" w:name="_GoBack"/>
            <w:bookmarkEnd w:id="1"/>
            <w:r>
              <w:rPr>
                <w:rFonts w:hint="eastAsia" w:ascii="仿宋_GB2312" w:hAnsi="仿宋_GB2312" w:eastAsia="仿宋_GB2312" w:cs="仿宋_GB2312"/>
                <w:sz w:val="21"/>
                <w:szCs w:val="21"/>
                <w:lang w:val="en-US" w:eastAsia="zh-CN"/>
              </w:rPr>
              <w:t>12”全国</w:t>
            </w:r>
            <w:r>
              <w:rPr>
                <w:rFonts w:hint="eastAsia" w:ascii="仿宋_GB2312" w:hAnsi="仿宋_GB2312" w:eastAsia="仿宋_GB2312" w:cs="仿宋_GB2312"/>
                <w:sz w:val="21"/>
                <w:szCs w:val="21"/>
              </w:rPr>
              <w:t>防灾减灾日、7.28唐山大地震纪念日、科技活动周、科普日等重点时段，组织学生在校内外开展防震减灾知识教育活动。每年开展或者参与各类活动不少于两次。</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有关材料、照片或录像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3、学校有部门和专人负责防震减灾宣传教育，负责防震减灾宣传教育的人员具备防震减灾相关知识。有一定的辅导经验和应急能力相对稳定的专职或兼职辅导教师负责防震减灾知识科普教育工作。</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hint="eastAsia" w:ascii="黑体" w:hAnsi="黑体" w:eastAsia="黑体" w:cs="黑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4、学校利用“</w:t>
            </w:r>
            <w:bookmarkStart w:id="0" w:name="_Hlk532378688"/>
            <w:r>
              <w:rPr>
                <w:rFonts w:hint="eastAsia" w:ascii="仿宋_GB2312" w:hAnsi="仿宋_GB2312" w:eastAsia="仿宋_GB2312" w:cs="仿宋_GB2312"/>
                <w:sz w:val="21"/>
                <w:szCs w:val="21"/>
              </w:rPr>
              <w:t>5·12</w:t>
            </w:r>
            <w:bookmarkEnd w:id="0"/>
            <w:r>
              <w:rPr>
                <w:rFonts w:hint="eastAsia" w:ascii="仿宋_GB2312" w:hAnsi="仿宋_GB2312" w:eastAsia="仿宋_GB2312" w:cs="仿宋_GB2312"/>
                <w:sz w:val="21"/>
                <w:szCs w:val="21"/>
              </w:rPr>
              <w:t>防震减灾宣传活动周”、“校园安全教育周”等时段通过多种途径开展防震减灾科普宣传教育活动。</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活动资料、照片或录像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adjustRightInd w:val="0"/>
              <w:snapToGrid w:val="0"/>
              <w:spacing w:line="240" w:lineRule="atLeast"/>
              <w:jc w:val="center"/>
              <w:rPr>
                <w:rFonts w:hint="eastAsia" w:ascii="黑体" w:hAnsi="黑体" w:eastAsia="黑体" w:cs="黑体"/>
                <w:sz w:val="21"/>
                <w:szCs w:val="21"/>
              </w:rPr>
            </w:pPr>
            <w:r>
              <w:rPr>
                <w:rFonts w:hint="eastAsia" w:ascii="黑体" w:hAnsi="黑体" w:eastAsia="黑体" w:cs="黑体"/>
                <w:sz w:val="21"/>
                <w:szCs w:val="21"/>
              </w:rPr>
              <w:t>应急预案</w:t>
            </w:r>
          </w:p>
          <w:p>
            <w:pPr>
              <w:adjustRightInd w:val="0"/>
              <w:snapToGrid w:val="0"/>
              <w:spacing w:line="240" w:lineRule="atLeast"/>
              <w:jc w:val="center"/>
              <w:rPr>
                <w:rFonts w:hint="eastAsia" w:ascii="黑体" w:hAnsi="黑体" w:eastAsia="黑体" w:cs="黑体"/>
                <w:sz w:val="21"/>
                <w:szCs w:val="21"/>
              </w:rPr>
            </w:pPr>
            <w:r>
              <w:rPr>
                <w:rFonts w:hint="eastAsia" w:ascii="黑体" w:hAnsi="黑体" w:eastAsia="黑体" w:cs="黑体"/>
                <w:sz w:val="21"/>
                <w:szCs w:val="21"/>
                <w:lang w:eastAsia="zh-CN"/>
              </w:rPr>
              <w:t>与</w:t>
            </w:r>
            <w:r>
              <w:rPr>
                <w:rFonts w:hint="eastAsia" w:ascii="黑体" w:hAnsi="黑体" w:eastAsia="黑体" w:cs="黑体"/>
                <w:sz w:val="21"/>
                <w:szCs w:val="21"/>
              </w:rPr>
              <w:t>演练</w:t>
            </w:r>
          </w:p>
          <w:p>
            <w:pPr>
              <w:spacing w:line="240" w:lineRule="atLeast"/>
              <w:jc w:val="center"/>
              <w:rPr>
                <w:rFonts w:hint="eastAsia" w:ascii="黑体" w:hAnsi="黑体" w:eastAsia="黑体" w:cs="黑体"/>
                <w:sz w:val="21"/>
                <w:szCs w:val="21"/>
              </w:rPr>
            </w:pPr>
            <w:r>
              <w:rPr>
                <w:rFonts w:hint="eastAsia" w:ascii="黑体" w:hAnsi="黑体" w:eastAsia="黑体" w:cs="黑体"/>
                <w:sz w:val="21"/>
                <w:szCs w:val="21"/>
              </w:rPr>
              <w:t>（30分）</w:t>
            </w: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1、学校制定了科学合理、可操作性强的地震应急预案，并适时进行修订。</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ascii="方正小标宋简体" w:hAnsi="黑体" w:eastAsia="方正小标宋简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2、学校按照GB/T33735-2017的要求开展地震避险和地震应急演练。学校每学期至少要举行一次由全校师生参加的应急避险和紧急疏散演练。应急避险、紧急疏散演练快速有序，无踩踏、伤亡事故发生。</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演练照片或录像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adjustRightInd w:val="0"/>
              <w:jc w:val="center"/>
              <w:rPr>
                <w:rFonts w:ascii="方正小标宋简体" w:hAnsi="黑体" w:eastAsia="方正小标宋简体"/>
                <w:sz w:val="21"/>
                <w:szCs w:val="21"/>
              </w:rPr>
            </w:pPr>
          </w:p>
        </w:tc>
        <w:tc>
          <w:tcPr>
            <w:tcW w:w="8080"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3、学校师生熟知地震应急预案内容和应急疏散路线，掌握地震应急避险知识和应急避险技能。</w:t>
            </w:r>
          </w:p>
        </w:tc>
        <w:tc>
          <w:tcPr>
            <w:tcW w:w="9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552"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有关材料、照片或录像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2" w:type="dxa"/>
            <w:gridSpan w:val="4"/>
            <w:vAlign w:val="center"/>
          </w:tcPr>
          <w:p>
            <w:pPr>
              <w:ind w:firstLine="211" w:firstLineChars="100"/>
              <w:jc w:val="left"/>
              <w:rPr>
                <w:rFonts w:ascii="方正小标宋简体" w:hAnsi="黑体" w:eastAsia="方正小标宋简体"/>
                <w:sz w:val="21"/>
                <w:szCs w:val="21"/>
              </w:rPr>
            </w:pPr>
            <w:r>
              <w:rPr>
                <w:rFonts w:hint="eastAsia" w:ascii="宋体" w:hAnsi="Calibri" w:eastAsia="宋体" w:cs="Times New Roman"/>
                <w:b/>
                <w:sz w:val="21"/>
                <w:szCs w:val="21"/>
              </w:rPr>
              <w:t>备注</w:t>
            </w:r>
            <w:r>
              <w:rPr>
                <w:rFonts w:hint="eastAsia" w:ascii="宋体" w:hAnsi="Calibri" w:eastAsia="宋体" w:cs="Times New Roman"/>
                <w:b/>
                <w:bCs/>
                <w:sz w:val="21"/>
                <w:szCs w:val="21"/>
              </w:rPr>
              <w:t>：</w:t>
            </w:r>
            <w:r>
              <w:rPr>
                <w:rFonts w:hint="eastAsia" w:ascii="宋体" w:hAnsi="Calibri" w:eastAsia="宋体" w:cs="Times New Roman"/>
                <w:b/>
                <w:bCs/>
                <w:sz w:val="21"/>
                <w:szCs w:val="21"/>
                <w:lang w:eastAsia="zh-CN"/>
              </w:rPr>
              <w:t>基础条件与防范措施中“</w:t>
            </w:r>
            <w:r>
              <w:rPr>
                <w:rFonts w:hint="eastAsia" w:ascii="宋体" w:hAnsi="Calibri" w:eastAsia="宋体" w:cs="Times New Roman"/>
                <w:b/>
                <w:bCs/>
                <w:sz w:val="21"/>
                <w:szCs w:val="21"/>
                <w:lang w:val="en-US" w:eastAsia="zh-CN"/>
              </w:rPr>
              <w:t>1、2</w:t>
            </w:r>
            <w:r>
              <w:rPr>
                <w:rFonts w:hint="eastAsia" w:ascii="宋体" w:hAnsi="Calibri" w:eastAsia="宋体" w:cs="Times New Roman"/>
                <w:b/>
                <w:bCs/>
                <w:sz w:val="21"/>
                <w:szCs w:val="21"/>
                <w:lang w:eastAsia="zh-CN"/>
              </w:rPr>
              <w:t>”项</w:t>
            </w:r>
            <w:r>
              <w:rPr>
                <w:rFonts w:hint="eastAsia" w:ascii="宋体" w:hAnsi="Calibri" w:eastAsia="宋体" w:cs="Times New Roman"/>
                <w:b/>
                <w:bCs/>
                <w:sz w:val="21"/>
                <w:szCs w:val="21"/>
              </w:rPr>
              <w:t>为一票否决项，有一项不符合本标准的不再进行评价。</w:t>
            </w:r>
          </w:p>
        </w:tc>
      </w:tr>
    </w:tbl>
    <w:p>
      <w:pPr>
        <w:rPr>
          <w:sz w:val="21"/>
          <w:szCs w:val="21"/>
        </w:rPr>
      </w:pPr>
    </w:p>
    <w:sectPr>
      <w:pgSz w:w="16838" w:h="11906" w:orient="landscape"/>
      <w:pgMar w:top="1800" w:right="1440" w:bottom="1800" w:left="21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7DD"/>
    <w:rsid w:val="00006702"/>
    <w:rsid w:val="00007C69"/>
    <w:rsid w:val="000224D9"/>
    <w:rsid w:val="0003374F"/>
    <w:rsid w:val="00042AE4"/>
    <w:rsid w:val="00050A1E"/>
    <w:rsid w:val="000515C9"/>
    <w:rsid w:val="000535D0"/>
    <w:rsid w:val="0006445B"/>
    <w:rsid w:val="00087BEA"/>
    <w:rsid w:val="00096C3C"/>
    <w:rsid w:val="000A7C12"/>
    <w:rsid w:val="000C6627"/>
    <w:rsid w:val="000C693C"/>
    <w:rsid w:val="000D0FCE"/>
    <w:rsid w:val="000D228B"/>
    <w:rsid w:val="000D4F04"/>
    <w:rsid w:val="000E12B7"/>
    <w:rsid w:val="000E5B6C"/>
    <w:rsid w:val="000E707B"/>
    <w:rsid w:val="000F7786"/>
    <w:rsid w:val="00115195"/>
    <w:rsid w:val="00115CD1"/>
    <w:rsid w:val="0012759D"/>
    <w:rsid w:val="00153AFB"/>
    <w:rsid w:val="0017218C"/>
    <w:rsid w:val="0017618D"/>
    <w:rsid w:val="00177BFF"/>
    <w:rsid w:val="00177CD2"/>
    <w:rsid w:val="00180049"/>
    <w:rsid w:val="001802DD"/>
    <w:rsid w:val="00186323"/>
    <w:rsid w:val="00190C47"/>
    <w:rsid w:val="00194E49"/>
    <w:rsid w:val="001A67EB"/>
    <w:rsid w:val="001A697C"/>
    <w:rsid w:val="001B0510"/>
    <w:rsid w:val="001E0E57"/>
    <w:rsid w:val="001E2BB7"/>
    <w:rsid w:val="00202AA8"/>
    <w:rsid w:val="00223A49"/>
    <w:rsid w:val="002367C2"/>
    <w:rsid w:val="00240CCC"/>
    <w:rsid w:val="00241471"/>
    <w:rsid w:val="002446A4"/>
    <w:rsid w:val="00246D27"/>
    <w:rsid w:val="002562C1"/>
    <w:rsid w:val="0025794E"/>
    <w:rsid w:val="002600CB"/>
    <w:rsid w:val="00265A6C"/>
    <w:rsid w:val="00267C94"/>
    <w:rsid w:val="0029359C"/>
    <w:rsid w:val="00294F32"/>
    <w:rsid w:val="002952CC"/>
    <w:rsid w:val="002C484E"/>
    <w:rsid w:val="002D32AC"/>
    <w:rsid w:val="002F5D23"/>
    <w:rsid w:val="00314036"/>
    <w:rsid w:val="00315E0D"/>
    <w:rsid w:val="00332B02"/>
    <w:rsid w:val="0033305B"/>
    <w:rsid w:val="00341D93"/>
    <w:rsid w:val="00347AAF"/>
    <w:rsid w:val="003534FB"/>
    <w:rsid w:val="003625F6"/>
    <w:rsid w:val="003648AF"/>
    <w:rsid w:val="00382259"/>
    <w:rsid w:val="003936D2"/>
    <w:rsid w:val="003A0FFF"/>
    <w:rsid w:val="003A2B68"/>
    <w:rsid w:val="003A3346"/>
    <w:rsid w:val="003A635B"/>
    <w:rsid w:val="003B0ECA"/>
    <w:rsid w:val="003B53ED"/>
    <w:rsid w:val="003C4A54"/>
    <w:rsid w:val="003D66B0"/>
    <w:rsid w:val="00404309"/>
    <w:rsid w:val="004052F3"/>
    <w:rsid w:val="00410BC7"/>
    <w:rsid w:val="0041527B"/>
    <w:rsid w:val="00416046"/>
    <w:rsid w:val="004223FD"/>
    <w:rsid w:val="00425DEB"/>
    <w:rsid w:val="00430365"/>
    <w:rsid w:val="00433EA0"/>
    <w:rsid w:val="0044018F"/>
    <w:rsid w:val="00445799"/>
    <w:rsid w:val="0044695F"/>
    <w:rsid w:val="00447862"/>
    <w:rsid w:val="00462688"/>
    <w:rsid w:val="004638CF"/>
    <w:rsid w:val="00467DE4"/>
    <w:rsid w:val="004820C7"/>
    <w:rsid w:val="004838A0"/>
    <w:rsid w:val="00490777"/>
    <w:rsid w:val="004A09C0"/>
    <w:rsid w:val="004A168B"/>
    <w:rsid w:val="004B3017"/>
    <w:rsid w:val="004B375C"/>
    <w:rsid w:val="004B40BE"/>
    <w:rsid w:val="004B531C"/>
    <w:rsid w:val="004C6C7C"/>
    <w:rsid w:val="004D3249"/>
    <w:rsid w:val="004D73AC"/>
    <w:rsid w:val="004E2947"/>
    <w:rsid w:val="004F56ED"/>
    <w:rsid w:val="00500175"/>
    <w:rsid w:val="005024AF"/>
    <w:rsid w:val="00512094"/>
    <w:rsid w:val="005211FB"/>
    <w:rsid w:val="00521A35"/>
    <w:rsid w:val="00527A2A"/>
    <w:rsid w:val="00532806"/>
    <w:rsid w:val="00533E6B"/>
    <w:rsid w:val="0054224A"/>
    <w:rsid w:val="0054466E"/>
    <w:rsid w:val="00556D81"/>
    <w:rsid w:val="005603B1"/>
    <w:rsid w:val="0056418C"/>
    <w:rsid w:val="00565B94"/>
    <w:rsid w:val="00580CAC"/>
    <w:rsid w:val="005858B9"/>
    <w:rsid w:val="00591F60"/>
    <w:rsid w:val="005B19D8"/>
    <w:rsid w:val="005B1C79"/>
    <w:rsid w:val="005C411C"/>
    <w:rsid w:val="005C568A"/>
    <w:rsid w:val="005C7B36"/>
    <w:rsid w:val="005D15A1"/>
    <w:rsid w:val="005F63CC"/>
    <w:rsid w:val="005F6917"/>
    <w:rsid w:val="005F7B35"/>
    <w:rsid w:val="0060625B"/>
    <w:rsid w:val="00612565"/>
    <w:rsid w:val="00613E12"/>
    <w:rsid w:val="00617875"/>
    <w:rsid w:val="00625179"/>
    <w:rsid w:val="00633770"/>
    <w:rsid w:val="006349EA"/>
    <w:rsid w:val="00635DCD"/>
    <w:rsid w:val="00641480"/>
    <w:rsid w:val="0064763A"/>
    <w:rsid w:val="00650C36"/>
    <w:rsid w:val="00650DA3"/>
    <w:rsid w:val="00651A18"/>
    <w:rsid w:val="00652CC2"/>
    <w:rsid w:val="00660D27"/>
    <w:rsid w:val="0066337B"/>
    <w:rsid w:val="0066454F"/>
    <w:rsid w:val="00676DE2"/>
    <w:rsid w:val="00676F6F"/>
    <w:rsid w:val="00687C6C"/>
    <w:rsid w:val="00695CAF"/>
    <w:rsid w:val="006A4473"/>
    <w:rsid w:val="006A567B"/>
    <w:rsid w:val="006B5B1D"/>
    <w:rsid w:val="006C1655"/>
    <w:rsid w:val="006C17D5"/>
    <w:rsid w:val="006C19F6"/>
    <w:rsid w:val="006D54DE"/>
    <w:rsid w:val="006E3044"/>
    <w:rsid w:val="00700E73"/>
    <w:rsid w:val="0070745B"/>
    <w:rsid w:val="007138D1"/>
    <w:rsid w:val="00720EB4"/>
    <w:rsid w:val="00721C04"/>
    <w:rsid w:val="00722949"/>
    <w:rsid w:val="007265A2"/>
    <w:rsid w:val="00755B0D"/>
    <w:rsid w:val="00762205"/>
    <w:rsid w:val="00762479"/>
    <w:rsid w:val="00765EE8"/>
    <w:rsid w:val="007679E7"/>
    <w:rsid w:val="0077569C"/>
    <w:rsid w:val="00780DB2"/>
    <w:rsid w:val="00791B5C"/>
    <w:rsid w:val="007A4C92"/>
    <w:rsid w:val="007A5D5C"/>
    <w:rsid w:val="007B2B8E"/>
    <w:rsid w:val="007B3493"/>
    <w:rsid w:val="007B6D99"/>
    <w:rsid w:val="007C2C21"/>
    <w:rsid w:val="007D1E37"/>
    <w:rsid w:val="007D237C"/>
    <w:rsid w:val="007D71B2"/>
    <w:rsid w:val="007E003B"/>
    <w:rsid w:val="007F78CD"/>
    <w:rsid w:val="0081477A"/>
    <w:rsid w:val="0082260A"/>
    <w:rsid w:val="00833413"/>
    <w:rsid w:val="00837BFA"/>
    <w:rsid w:val="0084376D"/>
    <w:rsid w:val="008459BB"/>
    <w:rsid w:val="008476F4"/>
    <w:rsid w:val="00852560"/>
    <w:rsid w:val="0085352D"/>
    <w:rsid w:val="00853FEA"/>
    <w:rsid w:val="008648A3"/>
    <w:rsid w:val="00870567"/>
    <w:rsid w:val="008800E7"/>
    <w:rsid w:val="00891F69"/>
    <w:rsid w:val="00895513"/>
    <w:rsid w:val="008965BF"/>
    <w:rsid w:val="008A46DD"/>
    <w:rsid w:val="008B2100"/>
    <w:rsid w:val="008C7378"/>
    <w:rsid w:val="008D478C"/>
    <w:rsid w:val="008E3261"/>
    <w:rsid w:val="008E384A"/>
    <w:rsid w:val="008F7BB4"/>
    <w:rsid w:val="00903B68"/>
    <w:rsid w:val="00905EE3"/>
    <w:rsid w:val="0090786B"/>
    <w:rsid w:val="00912018"/>
    <w:rsid w:val="00912585"/>
    <w:rsid w:val="0091707A"/>
    <w:rsid w:val="009271FB"/>
    <w:rsid w:val="0094038C"/>
    <w:rsid w:val="00946315"/>
    <w:rsid w:val="0095391F"/>
    <w:rsid w:val="009555E1"/>
    <w:rsid w:val="00955D3D"/>
    <w:rsid w:val="00962F68"/>
    <w:rsid w:val="00972509"/>
    <w:rsid w:val="00980F1F"/>
    <w:rsid w:val="00981D9A"/>
    <w:rsid w:val="00990359"/>
    <w:rsid w:val="00993BEC"/>
    <w:rsid w:val="009A7241"/>
    <w:rsid w:val="009B40DA"/>
    <w:rsid w:val="009C149D"/>
    <w:rsid w:val="009F5410"/>
    <w:rsid w:val="009F5724"/>
    <w:rsid w:val="009F71D6"/>
    <w:rsid w:val="00A01887"/>
    <w:rsid w:val="00A02FC8"/>
    <w:rsid w:val="00A15A77"/>
    <w:rsid w:val="00A43EDF"/>
    <w:rsid w:val="00A51FB1"/>
    <w:rsid w:val="00A57A2A"/>
    <w:rsid w:val="00A606A2"/>
    <w:rsid w:val="00A661D8"/>
    <w:rsid w:val="00A67827"/>
    <w:rsid w:val="00A80FCA"/>
    <w:rsid w:val="00A830FB"/>
    <w:rsid w:val="00AA0873"/>
    <w:rsid w:val="00AA09F1"/>
    <w:rsid w:val="00AA0E0B"/>
    <w:rsid w:val="00AB1DEA"/>
    <w:rsid w:val="00AB2C31"/>
    <w:rsid w:val="00AB33F3"/>
    <w:rsid w:val="00AC099C"/>
    <w:rsid w:val="00AD148F"/>
    <w:rsid w:val="00AD27A4"/>
    <w:rsid w:val="00AD6BD8"/>
    <w:rsid w:val="00AE1598"/>
    <w:rsid w:val="00AE4120"/>
    <w:rsid w:val="00AF20BC"/>
    <w:rsid w:val="00AF242F"/>
    <w:rsid w:val="00B00783"/>
    <w:rsid w:val="00B05C89"/>
    <w:rsid w:val="00B159C0"/>
    <w:rsid w:val="00B34AAE"/>
    <w:rsid w:val="00B3586C"/>
    <w:rsid w:val="00B41031"/>
    <w:rsid w:val="00B51FD6"/>
    <w:rsid w:val="00B65967"/>
    <w:rsid w:val="00B831EC"/>
    <w:rsid w:val="00BA6C39"/>
    <w:rsid w:val="00BD0607"/>
    <w:rsid w:val="00BD2BB9"/>
    <w:rsid w:val="00BE27C3"/>
    <w:rsid w:val="00BF019C"/>
    <w:rsid w:val="00BF3000"/>
    <w:rsid w:val="00C134FA"/>
    <w:rsid w:val="00C138E0"/>
    <w:rsid w:val="00C2476B"/>
    <w:rsid w:val="00C374F5"/>
    <w:rsid w:val="00C41575"/>
    <w:rsid w:val="00C43304"/>
    <w:rsid w:val="00C6097B"/>
    <w:rsid w:val="00C639D9"/>
    <w:rsid w:val="00C64BAB"/>
    <w:rsid w:val="00C7095C"/>
    <w:rsid w:val="00C7269F"/>
    <w:rsid w:val="00C73B6D"/>
    <w:rsid w:val="00C75260"/>
    <w:rsid w:val="00C76622"/>
    <w:rsid w:val="00C85BD5"/>
    <w:rsid w:val="00C8667E"/>
    <w:rsid w:val="00C874B7"/>
    <w:rsid w:val="00CB68AE"/>
    <w:rsid w:val="00CD1F10"/>
    <w:rsid w:val="00D01864"/>
    <w:rsid w:val="00D02C02"/>
    <w:rsid w:val="00D10DDC"/>
    <w:rsid w:val="00D13D8E"/>
    <w:rsid w:val="00D25568"/>
    <w:rsid w:val="00D3038C"/>
    <w:rsid w:val="00D313DE"/>
    <w:rsid w:val="00D328B5"/>
    <w:rsid w:val="00D345EC"/>
    <w:rsid w:val="00D4166B"/>
    <w:rsid w:val="00D41F45"/>
    <w:rsid w:val="00D47950"/>
    <w:rsid w:val="00D517DD"/>
    <w:rsid w:val="00D51DFA"/>
    <w:rsid w:val="00D543AB"/>
    <w:rsid w:val="00D56912"/>
    <w:rsid w:val="00D57E1D"/>
    <w:rsid w:val="00D65841"/>
    <w:rsid w:val="00D75601"/>
    <w:rsid w:val="00D83C8B"/>
    <w:rsid w:val="00D87891"/>
    <w:rsid w:val="00D95861"/>
    <w:rsid w:val="00D973F0"/>
    <w:rsid w:val="00DB4042"/>
    <w:rsid w:val="00DC438D"/>
    <w:rsid w:val="00DC7153"/>
    <w:rsid w:val="00DD20D2"/>
    <w:rsid w:val="00DD594B"/>
    <w:rsid w:val="00DE16BB"/>
    <w:rsid w:val="00DF525A"/>
    <w:rsid w:val="00E04971"/>
    <w:rsid w:val="00E12FF2"/>
    <w:rsid w:val="00E205E0"/>
    <w:rsid w:val="00E33CEC"/>
    <w:rsid w:val="00E47FB9"/>
    <w:rsid w:val="00E52515"/>
    <w:rsid w:val="00E611E2"/>
    <w:rsid w:val="00E62EB6"/>
    <w:rsid w:val="00E64B07"/>
    <w:rsid w:val="00E67734"/>
    <w:rsid w:val="00E67E53"/>
    <w:rsid w:val="00E7300C"/>
    <w:rsid w:val="00E87C9C"/>
    <w:rsid w:val="00E90DD8"/>
    <w:rsid w:val="00EA17A1"/>
    <w:rsid w:val="00EA24BE"/>
    <w:rsid w:val="00EA55E7"/>
    <w:rsid w:val="00EE6A22"/>
    <w:rsid w:val="00EE6F07"/>
    <w:rsid w:val="00EF5C31"/>
    <w:rsid w:val="00F02E86"/>
    <w:rsid w:val="00F11D17"/>
    <w:rsid w:val="00F2312B"/>
    <w:rsid w:val="00F25043"/>
    <w:rsid w:val="00F252B2"/>
    <w:rsid w:val="00F3377B"/>
    <w:rsid w:val="00F40CD4"/>
    <w:rsid w:val="00F445FB"/>
    <w:rsid w:val="00F4690D"/>
    <w:rsid w:val="00F526ED"/>
    <w:rsid w:val="00F8003E"/>
    <w:rsid w:val="00F8436C"/>
    <w:rsid w:val="00F84EC6"/>
    <w:rsid w:val="00F85294"/>
    <w:rsid w:val="00F91917"/>
    <w:rsid w:val="00F954A9"/>
    <w:rsid w:val="00F9589A"/>
    <w:rsid w:val="00FA2185"/>
    <w:rsid w:val="00FE75E5"/>
    <w:rsid w:val="00FF4E1E"/>
    <w:rsid w:val="00FF508E"/>
    <w:rsid w:val="00FF52BC"/>
    <w:rsid w:val="00FF6558"/>
    <w:rsid w:val="081D453C"/>
    <w:rsid w:val="08753F19"/>
    <w:rsid w:val="0BC50244"/>
    <w:rsid w:val="153C0673"/>
    <w:rsid w:val="197F17EF"/>
    <w:rsid w:val="2FA806A7"/>
    <w:rsid w:val="35586865"/>
    <w:rsid w:val="3AD3736F"/>
    <w:rsid w:val="3F946286"/>
    <w:rsid w:val="549A3E4F"/>
    <w:rsid w:val="7054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237</Words>
  <Characters>1355</Characters>
  <Lines>11</Lines>
  <Paragraphs>3</Paragraphs>
  <TotalTime>27</TotalTime>
  <ScaleCrop>false</ScaleCrop>
  <LinksUpToDate>false</LinksUpToDate>
  <CharactersWithSpaces>1589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2019-06-23T12:16:00Z</dcterms:created>
  <dc:creator>Administrator</dc:creator>
  <cp:lastModifiedBy>Administrator</cp:lastModifiedBy>
  <dcterms:modified xsi:type="dcterms:W3CDTF">2019-08-20T02:09:22Z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